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0" w:after="60"/>
        <w:jc w:val="center"/>
        <w:rPr>
          <w:iCs/>
          <w:sz w:val="22"/>
          <w:szCs w:val="22"/>
          <w:lang w:val="sr-CS"/>
        </w:rPr>
      </w:pPr>
      <w:r>
        <w:rPr>
          <w:b/>
          <w:iCs/>
          <w:sz w:val="22"/>
          <w:szCs w:val="22"/>
          <w:lang w:val="sr-CS"/>
        </w:rPr>
        <w:t>Табела. 9.</w:t>
      </w:r>
      <w:r>
        <w:rPr>
          <w:b/>
          <w:iCs/>
          <w:sz w:val="22"/>
          <w:szCs w:val="22"/>
        </w:rPr>
        <w:t>8</w:t>
      </w:r>
      <w:r>
        <w:rPr>
          <w:iCs/>
          <w:sz w:val="22"/>
          <w:szCs w:val="22"/>
          <w:lang w:val="sr-CS"/>
        </w:rPr>
        <w:t xml:space="preserve"> Компетентност ментора</w:t>
      </w:r>
    </w:p>
    <w:tbl>
      <w:tblPr>
        <w:tblW w:w="8741" w:type="dxa"/>
        <w:jc w:val="left"/>
        <w:tblInd w:w="44" w:type="dxa"/>
        <w:tblCellMar>
          <w:top w:w="0" w:type="dxa"/>
          <w:left w:w="108" w:type="dxa"/>
          <w:bottom w:w="0" w:type="dxa"/>
          <w:right w:w="108" w:type="dxa"/>
        </w:tblCellMar>
        <w:tblLook w:val="01e0"/>
      </w:tblPr>
      <w:tblGrid>
        <w:gridCol w:w="2182"/>
        <w:gridCol w:w="22"/>
        <w:gridCol w:w="43"/>
        <w:gridCol w:w="797"/>
        <w:gridCol w:w="752"/>
        <w:gridCol w:w="77"/>
        <w:gridCol w:w="807"/>
        <w:gridCol w:w="278"/>
        <w:gridCol w:w="77"/>
        <w:gridCol w:w="1167"/>
        <w:gridCol w:w="447"/>
        <w:gridCol w:w="2092"/>
      </w:tblGrid>
      <w:tr>
        <w:trPr>
          <w:trHeight w:val="227" w:hRule="atLeast"/>
        </w:trPr>
        <w:tc>
          <w:tcPr>
            <w:tcW w:w="3796"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b/>
                <w:lang w:val="sr-CS"/>
              </w:rPr>
              <w:t>Име и презиме</w:t>
            </w:r>
          </w:p>
        </w:tc>
        <w:tc>
          <w:tcPr>
            <w:tcW w:w="4945" w:type="dxa"/>
            <w:gridSpan w:val="7"/>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sr-RS"/>
              </w:rPr>
              <w:t>Игор Салом</w:t>
            </w:r>
          </w:p>
        </w:tc>
      </w:tr>
      <w:tr>
        <w:trPr>
          <w:trHeight w:val="227" w:hRule="atLeast"/>
        </w:trPr>
        <w:tc>
          <w:tcPr>
            <w:tcW w:w="3796"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pPr>
            <w:r>
              <w:rPr>
                <w:b/>
                <w:lang w:val="sr-CS"/>
              </w:rPr>
              <w:t>Звање</w:t>
            </w:r>
          </w:p>
        </w:tc>
        <w:tc>
          <w:tcPr>
            <w:tcW w:w="4945" w:type="dxa"/>
            <w:gridSpan w:val="7"/>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sr-RS"/>
              </w:rPr>
              <w:t>Виши научни сарадник</w:t>
            </w:r>
          </w:p>
        </w:tc>
      </w:tr>
      <w:tr>
        <w:trPr>
          <w:trHeight w:val="227" w:hRule="atLeast"/>
        </w:trPr>
        <w:tc>
          <w:tcPr>
            <w:tcW w:w="3796"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b/>
                <w:lang w:val="sr-CS"/>
              </w:rPr>
              <w:t>Ужа научна, уметничка односно стручна  област</w:t>
            </w:r>
          </w:p>
        </w:tc>
        <w:tc>
          <w:tcPr>
            <w:tcW w:w="4945" w:type="dxa"/>
            <w:gridSpan w:val="7"/>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sr-RS"/>
              </w:rPr>
              <w:t>Математичка физика</w:t>
            </w:r>
          </w:p>
        </w:tc>
      </w:tr>
      <w:tr>
        <w:trPr>
          <w:trHeight w:val="227" w:hRule="atLeast"/>
        </w:trPr>
        <w:tc>
          <w:tcPr>
            <w:tcW w:w="3044"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b/>
                <w:lang w:val="sr-CS"/>
              </w:rPr>
              <w:t>Академска каријера</w:t>
            </w:r>
          </w:p>
        </w:tc>
        <w:tc>
          <w:tcPr>
            <w:tcW w:w="75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 xml:space="preserve">Година </w:t>
            </w:r>
          </w:p>
        </w:tc>
        <w:tc>
          <w:tcPr>
            <w:tcW w:w="1162"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 xml:space="preserve">Институција </w:t>
            </w:r>
          </w:p>
        </w:tc>
        <w:tc>
          <w:tcPr>
            <w:tcW w:w="3783"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 xml:space="preserve">Ужа научна, уметничка односно стручна област </w:t>
            </w:r>
          </w:p>
        </w:tc>
      </w:tr>
      <w:tr>
        <w:trPr>
          <w:trHeight w:val="227" w:hRule="atLeast"/>
        </w:trPr>
        <w:tc>
          <w:tcPr>
            <w:tcW w:w="3044"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Избор у звање</w:t>
            </w:r>
          </w:p>
        </w:tc>
        <w:tc>
          <w:tcPr>
            <w:tcW w:w="75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sr-RS"/>
              </w:rPr>
              <w:t>ВНС, 2020</w:t>
            </w:r>
          </w:p>
        </w:tc>
        <w:tc>
          <w:tcPr>
            <w:tcW w:w="1162"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sr-RS"/>
              </w:rPr>
              <w:t>Институт за физику</w:t>
            </w:r>
          </w:p>
        </w:tc>
        <w:tc>
          <w:tcPr>
            <w:tcW w:w="3783"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sr-RS"/>
              </w:rPr>
              <w:t>Математичка физика</w:t>
            </w:r>
          </w:p>
        </w:tc>
      </w:tr>
      <w:tr>
        <w:trPr>
          <w:trHeight w:val="227" w:hRule="atLeast"/>
        </w:trPr>
        <w:tc>
          <w:tcPr>
            <w:tcW w:w="3044"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Докторат</w:t>
            </w:r>
          </w:p>
        </w:tc>
        <w:tc>
          <w:tcPr>
            <w:tcW w:w="75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sr-RS"/>
              </w:rPr>
              <w:t>2011</w:t>
            </w:r>
          </w:p>
        </w:tc>
        <w:tc>
          <w:tcPr>
            <w:tcW w:w="1162"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sr-RS"/>
              </w:rPr>
              <w:t>Физички факултет</w:t>
            </w:r>
          </w:p>
        </w:tc>
        <w:tc>
          <w:tcPr>
            <w:tcW w:w="3783"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sr-RS"/>
              </w:rPr>
              <w:t>Афине те</w:t>
            </w:r>
            <w:r>
              <w:rPr>
                <w:lang w:val="sr-RS"/>
              </w:rPr>
              <w:t>о</w:t>
            </w:r>
            <w:r>
              <w:rPr>
                <w:lang w:val="sr-RS"/>
              </w:rPr>
              <w:t>рије гравитације</w:t>
            </w:r>
          </w:p>
        </w:tc>
      </w:tr>
      <w:tr>
        <w:trPr>
          <w:trHeight w:val="227" w:hRule="atLeast"/>
        </w:trPr>
        <w:tc>
          <w:tcPr>
            <w:tcW w:w="3044"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pPr>
            <w:r>
              <w:rPr/>
              <w:t>Магистратура</w:t>
            </w:r>
          </w:p>
        </w:tc>
        <w:tc>
          <w:tcPr>
            <w:tcW w:w="75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sr-RS"/>
              </w:rPr>
              <w:t>2006</w:t>
            </w:r>
          </w:p>
        </w:tc>
        <w:tc>
          <w:tcPr>
            <w:tcW w:w="1162"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sr-RS"/>
              </w:rPr>
              <w:t>Физички факултет</w:t>
            </w:r>
          </w:p>
        </w:tc>
        <w:tc>
          <w:tcPr>
            <w:tcW w:w="3783"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sr-RS"/>
              </w:rPr>
              <w:t>Просторно-временске симетрије</w:t>
            </w:r>
          </w:p>
        </w:tc>
      </w:tr>
      <w:tr>
        <w:trPr>
          <w:trHeight w:val="227" w:hRule="atLeast"/>
        </w:trPr>
        <w:tc>
          <w:tcPr>
            <w:tcW w:w="3044"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pPr>
            <w:r>
              <w:rPr/>
              <w:t>Мастер диплома</w:t>
            </w:r>
          </w:p>
        </w:tc>
        <w:tc>
          <w:tcPr>
            <w:tcW w:w="75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2"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3783"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3044"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Диплома</w:t>
            </w:r>
          </w:p>
        </w:tc>
        <w:tc>
          <w:tcPr>
            <w:tcW w:w="75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sr-RS"/>
              </w:rPr>
              <w:t>2000</w:t>
            </w:r>
          </w:p>
        </w:tc>
        <w:tc>
          <w:tcPr>
            <w:tcW w:w="1162"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sr-RS"/>
              </w:rPr>
              <w:t>Физичи факултет</w:t>
            </w:r>
          </w:p>
        </w:tc>
        <w:tc>
          <w:tcPr>
            <w:tcW w:w="3783"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sr-RS"/>
              </w:rPr>
              <w:t>Квантна механика</w:t>
            </w:r>
          </w:p>
        </w:tc>
      </w:tr>
      <w:tr>
        <w:trPr>
          <w:trHeight w:val="227" w:hRule="atLeast"/>
        </w:trPr>
        <w:tc>
          <w:tcPr>
            <w:tcW w:w="8741" w:type="dxa"/>
            <w:gridSpan w:val="1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b/>
                <w:lang w:val="sr-CS"/>
              </w:rPr>
              <w:t>Списак дисертација</w:t>
            </w:r>
            <w:r>
              <w:rPr>
                <w:b/>
              </w:rPr>
              <w:t xml:space="preserve">-докторских уметничких пројеката </w:t>
            </w:r>
            <w:r>
              <w:rPr>
                <w:b/>
                <w:lang w:val="sr-CS"/>
              </w:rPr>
              <w:t>а у којима је наставнк ментор или је био ментор у претходних 10 година</w:t>
            </w:r>
          </w:p>
        </w:tc>
      </w:tr>
      <w:tr>
        <w:trPr>
          <w:trHeight w:val="227" w:hRule="atLeast"/>
        </w:trPr>
        <w:tc>
          <w:tcPr>
            <w:tcW w:w="2204"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Р.Б.</w:t>
            </w:r>
          </w:p>
        </w:tc>
        <w:tc>
          <w:tcPr>
            <w:tcW w:w="1669"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pPr>
            <w:r>
              <w:rPr>
                <w:lang w:val="sr-CS"/>
              </w:rPr>
              <w:t>Наслов дисертације</w:t>
            </w:r>
            <w:r>
              <w:rPr/>
              <w:t xml:space="preserve">- докторског уметничког пројекта </w:t>
            </w:r>
          </w:p>
        </w:tc>
        <w:tc>
          <w:tcPr>
            <w:tcW w:w="1162"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Име кандидата</w:t>
            </w:r>
          </w:p>
        </w:tc>
        <w:tc>
          <w:tcPr>
            <w:tcW w:w="11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 xml:space="preserve">*пријављена </w:t>
            </w:r>
          </w:p>
        </w:tc>
        <w:tc>
          <w:tcPr>
            <w:tcW w:w="2539"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 одбрањена</w:t>
            </w:r>
          </w:p>
        </w:tc>
      </w:tr>
      <w:tr>
        <w:trPr>
          <w:trHeight w:val="227" w:hRule="atLeast"/>
        </w:trPr>
        <w:tc>
          <w:tcPr>
            <w:tcW w:w="2204"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669"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2"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2539"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2204"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669"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2"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2539"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2204"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669"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2"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2539"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2204"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669"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2"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2539"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2204"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669"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2"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2539"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2204"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669"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2"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2539"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2204"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669"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2"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2539"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2204"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669"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2"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2539"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8741" w:type="dxa"/>
            <w:gridSpan w:val="1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*Година  у којој је дисертација</w:t>
            </w:r>
            <w:r>
              <w:rPr/>
              <w:t xml:space="preserve">-докторски уметнички пројекат </w:t>
            </w:r>
            <w:r>
              <w:rPr>
                <w:lang w:val="sr-CS"/>
              </w:rPr>
              <w:t xml:space="preserve"> пријављена</w:t>
            </w:r>
            <w:r>
              <w:rPr/>
              <w:t xml:space="preserve">-пријављен </w:t>
            </w:r>
            <w:r>
              <w:rPr>
                <w:lang w:val="sr-CS"/>
              </w:rPr>
              <w:t>(само за дисертације</w:t>
            </w:r>
            <w:r>
              <w:rPr/>
              <w:t xml:space="preserve">-докторске уметничке пројекте </w:t>
            </w:r>
            <w:r>
              <w:rPr>
                <w:lang w:val="sr-CS"/>
              </w:rPr>
              <w:t xml:space="preserve"> које су у току), ** Година у којој је дисертација</w:t>
            </w:r>
            <w:r>
              <w:rPr/>
              <w:t xml:space="preserve">-докторски уметнички пројекат </w:t>
            </w:r>
            <w:r>
              <w:rPr>
                <w:lang w:val="sr-CS"/>
              </w:rPr>
              <w:t xml:space="preserve"> одбрањена (само за дисертације</w:t>
            </w:r>
            <w:r>
              <w:rPr/>
              <w:t xml:space="preserve">-докторско уметничке пројекте </w:t>
            </w:r>
            <w:r>
              <w:rPr>
                <w:lang w:val="sr-CS"/>
              </w:rPr>
              <w:t xml:space="preserve"> из ранијег периода)</w:t>
            </w:r>
          </w:p>
        </w:tc>
      </w:tr>
      <w:tr>
        <w:trPr>
          <w:trHeight w:val="227" w:hRule="atLeast"/>
        </w:trPr>
        <w:tc>
          <w:tcPr>
            <w:tcW w:w="8741" w:type="dxa"/>
            <w:gridSpan w:val="1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rPr>
            </w:pPr>
            <w:r>
              <w:rPr>
                <w:b/>
                <w:lang w:val="sr-CS"/>
              </w:rPr>
              <w:t>Категоризација публикације</w:t>
            </w:r>
            <w:r>
              <w:rPr>
                <w:b/>
              </w:rPr>
              <w:t xml:space="preserve"> научних радова  из области датог студијског програма </w:t>
            </w:r>
            <w:r>
              <w:rPr>
                <w:b/>
                <w:lang w:val="sr-CS"/>
              </w:rPr>
              <w:t xml:space="preserve"> према класификацији ре</w:t>
            </w:r>
            <w:r>
              <w:rPr>
                <w:b/>
              </w:rPr>
              <w:t>с</w:t>
            </w:r>
            <w:r>
              <w:rPr>
                <w:b/>
                <w:lang w:val="sr-CS"/>
              </w:rPr>
              <w:t>орног Министарства просвете, науке и технолошког развоја  а у складу са допунским захтевевима  стандарда за дато поље (минимално 5 не више од 20)</w:t>
            </w:r>
          </w:p>
          <w:p>
            <w:pPr>
              <w:pStyle w:val="Normal"/>
              <w:spacing w:before="0" w:after="60"/>
              <w:rPr>
                <w:b/>
                <w:b/>
              </w:rPr>
            </w:pPr>
            <w:r>
              <w:rPr>
                <w:b/>
                <w:lang w:val="sr-CS"/>
              </w:rPr>
              <w:t>Категоризација публикације</w:t>
            </w:r>
            <w:r>
              <w:rPr>
                <w:b/>
              </w:rPr>
              <w:t xml:space="preserve"> уметничких референци  из области датог студијског програма </w:t>
            </w:r>
            <w:r>
              <w:rPr>
                <w:b/>
                <w:lang w:val="sr-CS"/>
              </w:rPr>
              <w:t xml:space="preserve"> према класификацији </w:t>
            </w:r>
            <w:r>
              <w:rPr>
                <w:b/>
              </w:rPr>
              <w:t xml:space="preserve"> из Упутства  за припрему документације  за акредитацију студијског програма </w:t>
            </w:r>
            <w:r>
              <w:rPr>
                <w:b/>
                <w:lang w:val="sr-CS"/>
              </w:rPr>
              <w:t>а у складу са допунским захтевевима  стандарда за дато поље</w:t>
            </w:r>
            <w:r>
              <w:rPr>
                <w:b/>
              </w:rPr>
              <w:t xml:space="preserve"> </w:t>
            </w:r>
            <w:r>
              <w:rPr>
                <w:b/>
                <w:lang w:val="sr-CS"/>
              </w:rPr>
              <w:t xml:space="preserve"> (минимално 5 не више од 20)</w:t>
            </w:r>
          </w:p>
        </w:tc>
      </w:tr>
      <w:tr>
        <w:trPr>
          <w:trHeight w:val="227" w:hRule="atLeast"/>
        </w:trPr>
        <w:tc>
          <w:tcPr>
            <w:tcW w:w="218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c>
          <w:tcPr>
            <w:tcW w:w="4467"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t xml:space="preserve"> </w:t>
            </w:r>
            <w:r>
              <w:rPr>
                <w:b/>
                <w:lang w:val="sr-CS"/>
              </w:rPr>
              <w:t xml:space="preserve">Nenad Manojlović, Igor Salom, Algebraic Bethe Ansatz for the Trigonometric sℓ(2) Gaudin Model with Triangular Boundary, </w:t>
            </w:r>
            <w:r>
              <w:rPr>
                <w:b/>
                <w:lang w:val="en-US"/>
              </w:rPr>
              <w:t xml:space="preserve">Symmetry, </w:t>
            </w:r>
            <w:r>
              <w:rPr>
                <w:b/>
                <w:lang w:val="sr-CS"/>
              </w:rPr>
              <w:t>MDPI, vol. 12, no. 3, doi: 10.3390/sym12030352, 2020</w:t>
            </w:r>
          </w:p>
        </w:tc>
        <w:tc>
          <w:tcPr>
            <w:tcW w:w="209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r>
      <w:tr>
        <w:trPr>
          <w:trHeight w:val="227" w:hRule="atLeast"/>
        </w:trPr>
        <w:tc>
          <w:tcPr>
            <w:tcW w:w="218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c>
          <w:tcPr>
            <w:tcW w:w="4467"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t xml:space="preserve">I. Salom, N. Manojlovi, N. Cirilo António, Generalized sℓ(2) Gaudin algebra and corresponding Knizhnik–Zamolodchikov equation, </w:t>
            </w:r>
            <w:r>
              <w:rPr>
                <w:b/>
                <w:lang w:val="sr-Latn-RS"/>
              </w:rPr>
              <w:t>Nucl. Ph</w:t>
            </w:r>
            <w:r>
              <w:rPr>
                <w:b/>
                <w:lang w:val="en-US"/>
              </w:rPr>
              <w:t>y</w:t>
            </w:r>
            <w:r>
              <w:rPr>
                <w:b/>
                <w:lang w:val="sr-Latn-RS"/>
              </w:rPr>
              <w:t xml:space="preserve">s B, </w:t>
            </w:r>
            <w:r>
              <w:rPr>
                <w:b/>
                <w:lang w:val="sr-CS"/>
              </w:rPr>
              <w:t>vol. 939, pp. 358 - 371, doi: https://doi.org/10.1016/j.nuclphysb.2018.12.025, 2019.</w:t>
            </w:r>
          </w:p>
        </w:tc>
        <w:tc>
          <w:tcPr>
            <w:tcW w:w="209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r>
      <w:tr>
        <w:trPr>
          <w:trHeight w:val="227" w:hRule="atLeast"/>
        </w:trPr>
        <w:tc>
          <w:tcPr>
            <w:tcW w:w="218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c>
          <w:tcPr>
            <w:tcW w:w="4467"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t xml:space="preserve">Dmitrasinovic V., Salom Igor, O(6) algebraic theory of three nonrelativistic quarks bound by spin-independent interactions, </w:t>
            </w:r>
            <w:r>
              <w:rPr>
                <w:b/>
                <w:lang w:val="en-US"/>
              </w:rPr>
              <w:t>P</w:t>
            </w:r>
            <w:r>
              <w:rPr>
                <w:b/>
                <w:lang w:val="en-US"/>
              </w:rPr>
              <w:t>hys</w:t>
            </w:r>
            <w:r>
              <w:rPr>
                <w:b/>
                <w:lang w:val="sr-Latn-RS"/>
              </w:rPr>
              <w:t>.</w:t>
            </w:r>
            <w:r>
              <w:rPr>
                <w:b/>
                <w:lang w:val="sr-CS"/>
              </w:rPr>
              <w:t xml:space="preserve"> R</w:t>
            </w:r>
            <w:r>
              <w:rPr>
                <w:b/>
                <w:lang w:val="en-US"/>
              </w:rPr>
              <w:t>ev.</w:t>
            </w:r>
            <w:r>
              <w:rPr>
                <w:b/>
                <w:lang w:val="sr-CS"/>
              </w:rPr>
              <w:t xml:space="preserve"> D, AMER PHYSICAL SOC, vol. 97, no. 9, issn: 2470-0010, doi: 10.1103/PhysRevD.97.094011</w:t>
            </w:r>
          </w:p>
        </w:tc>
        <w:tc>
          <w:tcPr>
            <w:tcW w:w="209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r>
      <w:tr>
        <w:trPr>
          <w:trHeight w:val="227" w:hRule="atLeast"/>
        </w:trPr>
        <w:tc>
          <w:tcPr>
            <w:tcW w:w="218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c>
          <w:tcPr>
            <w:tcW w:w="4467"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t xml:space="preserve"> </w:t>
            </w:r>
            <w:r>
              <w:rPr>
                <w:b/>
                <w:lang w:val="sr-CS"/>
              </w:rPr>
              <w:t>И. Салом, В. Дмитрашиновић, Permutation-symmetric three-particle hyper-spherical harmonics based on the S3 ⊗ SO(3)rot ⊂ O(2)⊗SO(3)rot ⊂ U(3)⋊S2 ⊂ O(6) subgroup chain, Nuclear Physics B, Elsevier, vol. 920, pp. 521 - 564, issn: 0550-3213, doi: 10.1016/j.nuclphysb.2017.04.024, Jul, 2017</w:t>
            </w:r>
          </w:p>
        </w:tc>
        <w:tc>
          <w:tcPr>
            <w:tcW w:w="209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r>
      <w:tr>
        <w:trPr>
          <w:trHeight w:val="227" w:hRule="atLeast"/>
        </w:trPr>
        <w:tc>
          <w:tcPr>
            <w:tcW w:w="218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c>
          <w:tcPr>
            <w:tcW w:w="4467"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t>N. Manojlović, И. Салом, Algebraic Bethe ansatz for the XXZ Heisenberg spin chain with triangular boundaries and the corresponding Gaudin model, Nuclear Physics B, vol. 923, pp. 73 - 106, issn: 0550-3213, doi: 10.1016/j.nuclphysb.2017.07.017, Oct, 2017</w:t>
            </w:r>
          </w:p>
        </w:tc>
        <w:tc>
          <w:tcPr>
            <w:tcW w:w="209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r>
      <w:tr>
        <w:trPr>
          <w:trHeight w:val="227" w:hRule="atLeast"/>
        </w:trPr>
        <w:tc>
          <w:tcPr>
            <w:tcW w:w="218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c>
          <w:tcPr>
            <w:tcW w:w="4467"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t>Игор Салом, Veljko Dmitrašinović, O(6) algebraic approach to three bound identical particles in the hyperspherical adiabatic representation, Physics Letters A, vol. 380, no. , pp. 1904 - 1911,  doi: 0.1016/j.physleta.2016.04.008, 2016</w:t>
            </w:r>
          </w:p>
        </w:tc>
        <w:tc>
          <w:tcPr>
            <w:tcW w:w="209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r>
      <w:tr>
        <w:trPr>
          <w:trHeight w:val="227" w:hRule="atLeast"/>
        </w:trPr>
        <w:tc>
          <w:tcPr>
            <w:tcW w:w="218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c>
          <w:tcPr>
            <w:tcW w:w="4467"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t>Stojanović, Vladimir M., Salom, Igor, Quantum dynamics of the small-polaron formation in a superconducting analog simulator, Phys. Rev. B, vol. 99, doi: 10.1103/PhysRevB.99.134308, 2019</w:t>
            </w:r>
          </w:p>
        </w:tc>
        <w:tc>
          <w:tcPr>
            <w:tcW w:w="209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r>
      <w:tr>
        <w:trPr>
          <w:trHeight w:val="227" w:hRule="atLeast"/>
        </w:trPr>
        <w:tc>
          <w:tcPr>
            <w:tcW w:w="218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c>
          <w:tcPr>
            <w:tcW w:w="4467"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c>
          <w:tcPr>
            <w:tcW w:w="209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r>
      <w:tr>
        <w:trPr>
          <w:trHeight w:val="227" w:hRule="atLeast"/>
        </w:trPr>
        <w:tc>
          <w:tcPr>
            <w:tcW w:w="218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c>
          <w:tcPr>
            <w:tcW w:w="4467"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c>
          <w:tcPr>
            <w:tcW w:w="209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r>
      <w:tr>
        <w:trPr>
          <w:trHeight w:val="227" w:hRule="atLeast"/>
        </w:trPr>
        <w:tc>
          <w:tcPr>
            <w:tcW w:w="8741" w:type="dxa"/>
            <w:gridSpan w:val="1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t>Збирни подаци научне активност наставника</w:t>
            </w:r>
          </w:p>
        </w:tc>
      </w:tr>
      <w:tr>
        <w:trPr>
          <w:trHeight w:val="227" w:hRule="atLeast"/>
        </w:trPr>
        <w:tc>
          <w:tcPr>
            <w:tcW w:w="8741" w:type="dxa"/>
            <w:gridSpan w:val="1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t xml:space="preserve">Збирни подаци </w:t>
            </w:r>
            <w:r>
              <w:rPr>
                <w:b/>
              </w:rPr>
              <w:t xml:space="preserve">уметничке </w:t>
            </w:r>
            <w:r>
              <w:rPr>
                <w:b/>
                <w:lang w:val="sr-CS"/>
              </w:rPr>
              <w:t xml:space="preserve"> активност наставника</w:t>
            </w:r>
          </w:p>
        </w:tc>
      </w:tr>
      <w:tr>
        <w:trPr>
          <w:trHeight w:val="227" w:hRule="atLeast"/>
        </w:trPr>
        <w:tc>
          <w:tcPr>
            <w:tcW w:w="2247"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Укупан број цитата, без аутоцитата</w:t>
            </w:r>
          </w:p>
        </w:tc>
        <w:tc>
          <w:tcPr>
            <w:tcW w:w="6494" w:type="dxa"/>
            <w:gridSpan w:val="9"/>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en-US"/>
              </w:rPr>
            </w:pPr>
            <w:r>
              <w:rPr>
                <w:b/>
                <w:lang w:val="en-US"/>
              </w:rPr>
              <w:t>51</w:t>
            </w:r>
          </w:p>
        </w:tc>
      </w:tr>
      <w:tr>
        <w:trPr>
          <w:trHeight w:val="227" w:hRule="atLeast"/>
        </w:trPr>
        <w:tc>
          <w:tcPr>
            <w:tcW w:w="2247"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Укупан број радова са SCI (или SSCI) листе</w:t>
            </w:r>
          </w:p>
        </w:tc>
        <w:tc>
          <w:tcPr>
            <w:tcW w:w="6494" w:type="dxa"/>
            <w:gridSpan w:val="9"/>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en-US"/>
              </w:rPr>
            </w:pPr>
            <w:r>
              <w:rPr>
                <w:b/>
                <w:lang w:val="en-US"/>
              </w:rPr>
              <w:t xml:space="preserve">21 </w:t>
            </w:r>
            <w:r>
              <w:rPr>
                <w:b/>
                <w:lang w:val="sr-RS"/>
              </w:rPr>
              <w:t xml:space="preserve">рад из М20 категорија и </w:t>
            </w:r>
            <w:r>
              <w:rPr>
                <w:b/>
                <w:lang w:val="sr-RS"/>
              </w:rPr>
              <w:t>27 радова из М30 категорија</w:t>
            </w:r>
          </w:p>
        </w:tc>
      </w:tr>
      <w:tr>
        <w:trPr>
          <w:trHeight w:val="227" w:hRule="atLeast"/>
        </w:trPr>
        <w:tc>
          <w:tcPr>
            <w:tcW w:w="2247"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lang w:val="sr-CS"/>
              </w:rPr>
              <w:t>Тренутно учешће на пројектима</w:t>
            </w:r>
          </w:p>
        </w:tc>
        <w:tc>
          <w:tcPr>
            <w:tcW w:w="2433"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pPr>
            <w:r>
              <w:rPr>
                <w:lang w:val="sr-CS"/>
              </w:rPr>
              <w:t>Домаћи</w:t>
            </w:r>
          </w:p>
          <w:p>
            <w:pPr>
              <w:pStyle w:val="Normal"/>
              <w:spacing w:before="0" w:after="60"/>
              <w:rPr>
                <w:b/>
                <w:b/>
                <w:lang w:val="sr-CS"/>
              </w:rPr>
            </w:pPr>
            <w:r>
              <w:rPr/>
            </w:r>
          </w:p>
          <w:p>
            <w:pPr>
              <w:pStyle w:val="Normal"/>
              <w:spacing w:before="0" w:after="60"/>
              <w:rPr/>
            </w:pPr>
            <w:r>
              <w:rPr/>
              <w:t xml:space="preserve"> </w:t>
            </w:r>
            <w:r>
              <w:rPr/>
              <w:t>"Symmetries and Quantization 2020"</w:t>
            </w:r>
          </w:p>
          <w:p>
            <w:pPr>
              <w:pStyle w:val="Normal"/>
              <w:spacing w:before="0" w:after="60"/>
              <w:rPr/>
            </w:pPr>
            <w:r>
              <w:rPr/>
              <w:t>Institution: Institute of Physics, University of Belgrade (Program "Diaspora" of the Serbian Science Fund)</w:t>
            </w:r>
          </w:p>
          <w:p>
            <w:pPr>
              <w:pStyle w:val="Normal"/>
              <w:spacing w:before="0" w:after="60"/>
              <w:rPr/>
            </w:pPr>
            <w:r>
              <w:rPr/>
              <w:t>Number: 6427195</w:t>
            </w:r>
          </w:p>
        </w:tc>
        <w:tc>
          <w:tcPr>
            <w:tcW w:w="4061"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pPr>
            <w:r>
              <w:rPr>
                <w:lang w:val="sr-CS"/>
              </w:rPr>
              <w:t>Међународни</w:t>
            </w:r>
          </w:p>
          <w:p>
            <w:pPr>
              <w:pStyle w:val="Normal"/>
              <w:spacing w:before="0" w:after="60"/>
              <w:rPr/>
            </w:pPr>
            <w:r>
              <w:rPr/>
            </w:r>
          </w:p>
          <w:p>
            <w:pPr>
              <w:pStyle w:val="Normal"/>
              <w:spacing w:before="0" w:after="60"/>
              <w:rPr/>
            </w:pPr>
            <w:r>
              <w:rPr>
                <w:b/>
                <w:lang w:val="en-US"/>
              </w:rPr>
              <w:t xml:space="preserve">1. </w:t>
            </w:r>
            <w:r>
              <w:rPr>
                <w:rFonts w:ascii="Calibri" w:hAnsi="Calibri"/>
                <w:b/>
                <w:sz w:val="22"/>
              </w:rPr>
              <w:t>“</w:t>
            </w:r>
            <w:r>
              <w:rPr>
                <w:rFonts w:ascii="Calibri" w:hAnsi="Calibri"/>
                <w:sz w:val="22"/>
              </w:rPr>
              <w:t>A novel Quark-Gluon Plasma tomography tool: from jet</w:t>
            </w:r>
          </w:p>
          <w:p>
            <w:pPr>
              <w:pStyle w:val="Normal"/>
              <w:jc w:val="left"/>
              <w:rPr/>
            </w:pPr>
            <w:r>
              <w:rPr>
                <w:rFonts w:ascii="Calibri" w:hAnsi="Calibri"/>
                <w:sz w:val="22"/>
              </w:rPr>
              <w:t>quenching to exploring the extreme medium properties”,</w:t>
            </w:r>
          </w:p>
          <w:p>
            <w:pPr>
              <w:pStyle w:val="Normal"/>
              <w:jc w:val="left"/>
              <w:rPr/>
            </w:pPr>
            <w:r>
              <w:rPr>
                <w:rFonts w:ascii="Calibri" w:hAnsi="Calibri"/>
                <w:sz w:val="22"/>
              </w:rPr>
              <w:t>Horizon 2020, European Research Council (ERC) 2016</w:t>
            </w:r>
          </w:p>
          <w:p>
            <w:pPr>
              <w:pStyle w:val="Normal"/>
              <w:jc w:val="left"/>
              <w:rPr/>
            </w:pPr>
            <w:r>
              <w:rPr>
                <w:rFonts w:ascii="Calibri" w:hAnsi="Calibri"/>
                <w:sz w:val="22"/>
              </w:rPr>
              <w:t>Consolidator Grant, ERC-2016-COG: 725741, član projektnog</w:t>
            </w:r>
          </w:p>
          <w:p>
            <w:pPr>
              <w:pStyle w:val="Normal"/>
              <w:spacing w:before="0" w:after="60"/>
              <w:rPr>
                <w:lang w:val="en-US"/>
              </w:rPr>
            </w:pPr>
            <w:r>
              <w:rPr>
                <w:rFonts w:ascii="Calibri" w:hAnsi="Calibri"/>
                <w:sz w:val="22"/>
                <w:lang w:val="en-US"/>
              </w:rPr>
              <w:t>tima, zadužen za numeričke simulacije</w:t>
            </w:r>
          </w:p>
          <w:p>
            <w:pPr>
              <w:pStyle w:val="Normal"/>
              <w:spacing w:before="0" w:after="60"/>
              <w:rPr>
                <w:rFonts w:ascii="Calibri" w:hAnsi="Calibri"/>
                <w:sz w:val="22"/>
              </w:rPr>
            </w:pPr>
            <w:r>
              <w:rPr>
                <w:lang w:val="en-US"/>
              </w:rPr>
            </w:r>
          </w:p>
          <w:p>
            <w:pPr>
              <w:pStyle w:val="Normal"/>
              <w:spacing w:before="0" w:after="60"/>
              <w:rPr>
                <w:lang w:val="en-US"/>
              </w:rPr>
            </w:pPr>
            <w:r>
              <w:rPr>
                <w:rFonts w:ascii="Calibri" w:hAnsi="Calibri"/>
                <w:sz w:val="22"/>
                <w:lang w:val="en-US"/>
              </w:rPr>
              <w:t>2. "Symmetries and Quantization - 2020-2022"</w:t>
            </w:r>
          </w:p>
          <w:p>
            <w:pPr>
              <w:pStyle w:val="Normal"/>
              <w:spacing w:before="0" w:after="60"/>
              <w:rPr>
                <w:lang w:val="en-US"/>
              </w:rPr>
            </w:pPr>
            <w:r>
              <w:rPr>
                <w:rFonts w:ascii="Calibri" w:hAnsi="Calibri"/>
                <w:sz w:val="22"/>
                <w:lang w:val="en-US"/>
              </w:rPr>
              <w:t>Institution: Institute of Physics, University of Belgrade (bilateral project between Portugal and Serbia)</w:t>
            </w:r>
          </w:p>
          <w:p>
            <w:pPr>
              <w:pStyle w:val="Normal"/>
              <w:spacing w:before="0" w:after="60"/>
              <w:rPr>
                <w:lang w:val="en-US"/>
              </w:rPr>
            </w:pPr>
            <w:r>
              <w:rPr>
                <w:rFonts w:ascii="Calibri" w:hAnsi="Calibri"/>
                <w:sz w:val="22"/>
                <w:lang w:val="en-US"/>
              </w:rPr>
              <w:t>Number: 337-00-00227/2019-09/57</w:t>
            </w:r>
          </w:p>
        </w:tc>
      </w:tr>
      <w:tr>
        <w:trPr>
          <w:trHeight w:val="227" w:hRule="atLeast"/>
        </w:trPr>
        <w:tc>
          <w:tcPr>
            <w:tcW w:w="2247"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lang w:val="sr-CS"/>
              </w:rPr>
              <w:t>Усавршавања</w:t>
            </w:r>
          </w:p>
        </w:tc>
        <w:tc>
          <w:tcPr>
            <w:tcW w:w="2433"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c>
          <w:tcPr>
            <w:tcW w:w="4061"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r>
      <w:tr>
        <w:trPr>
          <w:trHeight w:val="227" w:hRule="atLeast"/>
        </w:trPr>
        <w:tc>
          <w:tcPr>
            <w:tcW w:w="2247"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lang w:val="sr-CS"/>
              </w:rPr>
              <w:t>Други подаци које сматрате релевантним</w:t>
            </w:r>
          </w:p>
        </w:tc>
        <w:tc>
          <w:tcPr>
            <w:tcW w:w="6494" w:type="dxa"/>
            <w:gridSpan w:val="9"/>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r>
      <w:tr>
        <w:trPr>
          <w:trHeight w:val="227" w:hRule="atLeast"/>
        </w:trPr>
        <w:tc>
          <w:tcPr>
            <w:tcW w:w="2247"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lang w:val="sr-CS"/>
              </w:rPr>
              <w:t>Максимална дужине несме бити већа од  2 странице А4</w:t>
            </w:r>
          </w:p>
        </w:tc>
        <w:tc>
          <w:tcPr>
            <w:tcW w:w="6494" w:type="dxa"/>
            <w:gridSpan w:val="9"/>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r>
    </w:tbl>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spacing w:before="0" w:after="60"/>
        <w:jc w:val="center"/>
        <w:rPr>
          <w:iCs/>
          <w:sz w:val="22"/>
          <w:szCs w:val="22"/>
          <w:lang w:val="en-US"/>
        </w:rPr>
      </w:pPr>
      <w:r>
        <w:rPr>
          <w:b/>
          <w:iCs/>
          <w:sz w:val="22"/>
          <w:szCs w:val="22"/>
          <w:lang w:val="en-US"/>
        </w:rPr>
        <w:t>Table. 9.8</w:t>
      </w:r>
      <w:r>
        <w:rPr>
          <w:iCs/>
          <w:sz w:val="22"/>
          <w:szCs w:val="22"/>
          <w:lang w:val="en-US"/>
        </w:rPr>
        <w:t xml:space="preserve"> Competences of mentors</w:t>
      </w:r>
    </w:p>
    <w:tbl>
      <w:tblPr>
        <w:tblW w:w="8727" w:type="dxa"/>
        <w:jc w:val="left"/>
        <w:tblInd w:w="93" w:type="dxa"/>
        <w:tblCellMar>
          <w:top w:w="0" w:type="dxa"/>
          <w:left w:w="108" w:type="dxa"/>
          <w:bottom w:w="0" w:type="dxa"/>
          <w:right w:w="108" w:type="dxa"/>
        </w:tblCellMar>
        <w:tblLook w:val="01e0"/>
      </w:tblPr>
      <w:tblGrid>
        <w:gridCol w:w="2165"/>
        <w:gridCol w:w="28"/>
        <w:gridCol w:w="687"/>
        <w:gridCol w:w="753"/>
        <w:gridCol w:w="76"/>
        <w:gridCol w:w="71"/>
        <w:gridCol w:w="1020"/>
        <w:gridCol w:w="109"/>
        <w:gridCol w:w="922"/>
        <w:gridCol w:w="240"/>
        <w:gridCol w:w="485"/>
        <w:gridCol w:w="2171"/>
      </w:tblGrid>
      <w:tr>
        <w:trPr>
          <w:trHeight w:val="227" w:hRule="atLeast"/>
        </w:trPr>
        <w:tc>
          <w:tcPr>
            <w:tcW w:w="3633"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b/>
                <w:sz w:val="22"/>
                <w:szCs w:val="22"/>
                <w:lang w:val="en-US"/>
              </w:rPr>
              <w:t>Name and family name</w:t>
            </w:r>
          </w:p>
        </w:tc>
        <w:tc>
          <w:tcPr>
            <w:tcW w:w="5094" w:type="dxa"/>
            <w:gridSpan w:val="8"/>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Igor Salom</w:t>
            </w:r>
          </w:p>
        </w:tc>
      </w:tr>
      <w:tr>
        <w:trPr>
          <w:trHeight w:val="227" w:hRule="atLeast"/>
        </w:trPr>
        <w:tc>
          <w:tcPr>
            <w:tcW w:w="3633"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pPr>
            <w:r>
              <w:rPr>
                <w:b/>
                <w:sz w:val="22"/>
                <w:szCs w:val="22"/>
                <w:lang w:val="en-US"/>
              </w:rPr>
              <w:t xml:space="preserve">Title </w:t>
            </w:r>
          </w:p>
        </w:tc>
        <w:tc>
          <w:tcPr>
            <w:tcW w:w="5094" w:type="dxa"/>
            <w:gridSpan w:val="8"/>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Dr</w:t>
            </w:r>
          </w:p>
        </w:tc>
      </w:tr>
      <w:tr>
        <w:trPr>
          <w:trHeight w:val="227" w:hRule="atLeast"/>
        </w:trPr>
        <w:tc>
          <w:tcPr>
            <w:tcW w:w="3633"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b/>
                <w:sz w:val="22"/>
                <w:szCs w:val="22"/>
                <w:lang w:val="en-US"/>
              </w:rPr>
              <w:t>Narrow scientific area</w:t>
            </w:r>
          </w:p>
        </w:tc>
        <w:tc>
          <w:tcPr>
            <w:tcW w:w="5094" w:type="dxa"/>
            <w:gridSpan w:val="8"/>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Mathematical physics</w:t>
            </w:r>
          </w:p>
        </w:tc>
      </w:tr>
      <w:tr>
        <w:trPr>
          <w:trHeight w:val="227" w:hRule="atLeast"/>
        </w:trPr>
        <w:tc>
          <w:tcPr>
            <w:tcW w:w="288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b/>
                <w:sz w:val="22"/>
                <w:szCs w:val="22"/>
                <w:lang w:val="en-US"/>
              </w:rPr>
              <w:t>Academic career</w:t>
            </w:r>
          </w:p>
        </w:tc>
        <w:tc>
          <w:tcPr>
            <w:tcW w:w="75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 xml:space="preserve">Year  </w:t>
            </w:r>
          </w:p>
        </w:tc>
        <w:tc>
          <w:tcPr>
            <w:tcW w:w="1167"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b/>
                <w:sz w:val="22"/>
                <w:szCs w:val="22"/>
                <w:lang w:val="en-US"/>
              </w:rPr>
              <w:t>Academic career</w:t>
            </w:r>
          </w:p>
        </w:tc>
        <w:tc>
          <w:tcPr>
            <w:tcW w:w="3927"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 xml:space="preserve">Year  </w:t>
            </w:r>
          </w:p>
        </w:tc>
      </w:tr>
      <w:tr>
        <w:trPr>
          <w:trHeight w:val="227" w:hRule="atLeast"/>
        </w:trPr>
        <w:tc>
          <w:tcPr>
            <w:tcW w:w="288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Election to the title</w:t>
            </w:r>
          </w:p>
        </w:tc>
        <w:tc>
          <w:tcPr>
            <w:tcW w:w="75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r>
          </w:p>
        </w:tc>
        <w:tc>
          <w:tcPr>
            <w:tcW w:w="1167"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Election to the title</w:t>
            </w:r>
          </w:p>
        </w:tc>
        <w:tc>
          <w:tcPr>
            <w:tcW w:w="3927"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r>
          </w:p>
        </w:tc>
      </w:tr>
      <w:tr>
        <w:trPr>
          <w:trHeight w:val="227" w:hRule="atLeast"/>
        </w:trPr>
        <w:tc>
          <w:tcPr>
            <w:tcW w:w="288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PhD</w:t>
            </w:r>
          </w:p>
        </w:tc>
        <w:tc>
          <w:tcPr>
            <w:tcW w:w="75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2011</w:t>
            </w:r>
          </w:p>
        </w:tc>
        <w:tc>
          <w:tcPr>
            <w:tcW w:w="1167"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PhD</w:t>
            </w:r>
          </w:p>
        </w:tc>
        <w:tc>
          <w:tcPr>
            <w:tcW w:w="3927"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r>
          </w:p>
        </w:tc>
      </w:tr>
      <w:tr>
        <w:trPr>
          <w:trHeight w:val="227" w:hRule="atLeast"/>
        </w:trPr>
        <w:tc>
          <w:tcPr>
            <w:tcW w:w="288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Master degree</w:t>
            </w:r>
          </w:p>
        </w:tc>
        <w:tc>
          <w:tcPr>
            <w:tcW w:w="75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r>
          </w:p>
        </w:tc>
        <w:tc>
          <w:tcPr>
            <w:tcW w:w="1167"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Master degree</w:t>
            </w:r>
          </w:p>
        </w:tc>
        <w:tc>
          <w:tcPr>
            <w:tcW w:w="3927"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r>
          </w:p>
        </w:tc>
      </w:tr>
      <w:tr>
        <w:trPr>
          <w:trHeight w:val="227" w:hRule="atLeast"/>
        </w:trPr>
        <w:tc>
          <w:tcPr>
            <w:tcW w:w="288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Master diploma</w:t>
            </w:r>
          </w:p>
        </w:tc>
        <w:tc>
          <w:tcPr>
            <w:tcW w:w="75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r>
          </w:p>
        </w:tc>
        <w:tc>
          <w:tcPr>
            <w:tcW w:w="1167"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Master diploma</w:t>
            </w:r>
          </w:p>
        </w:tc>
        <w:tc>
          <w:tcPr>
            <w:tcW w:w="3927"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r>
          </w:p>
        </w:tc>
      </w:tr>
      <w:tr>
        <w:trPr>
          <w:trHeight w:val="227" w:hRule="atLeast"/>
        </w:trPr>
        <w:tc>
          <w:tcPr>
            <w:tcW w:w="288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 xml:space="preserve">Diploma </w:t>
            </w:r>
          </w:p>
        </w:tc>
        <w:tc>
          <w:tcPr>
            <w:tcW w:w="75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2000</w:t>
            </w:r>
          </w:p>
        </w:tc>
        <w:tc>
          <w:tcPr>
            <w:tcW w:w="1167"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 xml:space="preserve">Diploma </w:t>
            </w:r>
          </w:p>
        </w:tc>
        <w:tc>
          <w:tcPr>
            <w:tcW w:w="3927"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r>
          </w:p>
        </w:tc>
      </w:tr>
      <w:tr>
        <w:trPr>
          <w:trHeight w:val="227" w:hRule="atLeast"/>
        </w:trPr>
        <w:tc>
          <w:tcPr>
            <w:tcW w:w="8727" w:type="dxa"/>
            <w:gridSpan w:val="1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b/>
                <w:sz w:val="22"/>
                <w:szCs w:val="22"/>
                <w:lang w:val="en-US"/>
              </w:rPr>
              <w:t xml:space="preserve">A list of dissertations-doctoral art projects in which the teacher is or was a mentor in the past 10 years </w:t>
            </w:r>
          </w:p>
        </w:tc>
      </w:tr>
      <w:tr>
        <w:trPr>
          <w:trHeight w:val="227" w:hRule="atLeast"/>
        </w:trPr>
        <w:tc>
          <w:tcPr>
            <w:tcW w:w="2193"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t>No.</w:t>
            </w:r>
          </w:p>
        </w:tc>
        <w:tc>
          <w:tcPr>
            <w:tcW w:w="1516"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t>Title of the dissertation – doctoral art project</w:t>
            </w:r>
          </w:p>
        </w:tc>
        <w:tc>
          <w:tcPr>
            <w:tcW w:w="120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t xml:space="preserve">Name of the candidate </w:t>
            </w:r>
          </w:p>
        </w:tc>
        <w:tc>
          <w:tcPr>
            <w:tcW w:w="1162"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t xml:space="preserve">*submitted </w:t>
            </w:r>
          </w:p>
        </w:tc>
        <w:tc>
          <w:tcPr>
            <w:tcW w:w="2656"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t>** defended</w:t>
            </w:r>
          </w:p>
        </w:tc>
      </w:tr>
      <w:tr>
        <w:trPr>
          <w:trHeight w:val="227" w:hRule="atLeast"/>
        </w:trPr>
        <w:tc>
          <w:tcPr>
            <w:tcW w:w="2193"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516"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20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62"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2656"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r>
      <w:tr>
        <w:trPr>
          <w:trHeight w:val="227" w:hRule="atLeast"/>
        </w:trPr>
        <w:tc>
          <w:tcPr>
            <w:tcW w:w="2193"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516"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20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62"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2656"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r>
      <w:tr>
        <w:trPr>
          <w:trHeight w:val="227" w:hRule="atLeast"/>
        </w:trPr>
        <w:tc>
          <w:tcPr>
            <w:tcW w:w="2193"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516"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20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62"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2656"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r>
      <w:tr>
        <w:trPr>
          <w:trHeight w:val="227" w:hRule="atLeast"/>
        </w:trPr>
        <w:tc>
          <w:tcPr>
            <w:tcW w:w="2193"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516"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20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62"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2656"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r>
      <w:tr>
        <w:trPr>
          <w:trHeight w:val="227" w:hRule="atLeast"/>
        </w:trPr>
        <w:tc>
          <w:tcPr>
            <w:tcW w:w="2193"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516"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20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62"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2656"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r>
      <w:tr>
        <w:trPr>
          <w:trHeight w:val="227" w:hRule="atLeast"/>
        </w:trPr>
        <w:tc>
          <w:tcPr>
            <w:tcW w:w="2193"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516"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20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62"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2656"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r>
      <w:tr>
        <w:trPr>
          <w:trHeight w:val="227" w:hRule="atLeast"/>
        </w:trPr>
        <w:tc>
          <w:tcPr>
            <w:tcW w:w="2193"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516"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20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62"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2656"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r>
      <w:tr>
        <w:trPr>
          <w:trHeight w:val="227" w:hRule="atLeast"/>
        </w:trPr>
        <w:tc>
          <w:tcPr>
            <w:tcW w:w="2193"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516"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20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62"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2656"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r>
      <w:tr>
        <w:trPr>
          <w:trHeight w:val="227" w:hRule="atLeast"/>
        </w:trPr>
        <w:tc>
          <w:tcPr>
            <w:tcW w:w="8727" w:type="dxa"/>
            <w:gridSpan w:val="1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t>*</w:t>
            </w:r>
            <w:r>
              <w:rPr>
                <w:lang w:val="en-US"/>
              </w:rPr>
              <w:t xml:space="preserve"> </w:t>
            </w:r>
            <w:r>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trPr>
          <w:trHeight w:val="227" w:hRule="atLeast"/>
        </w:trPr>
        <w:tc>
          <w:tcPr>
            <w:tcW w:w="8727" w:type="dxa"/>
            <w:gridSpan w:val="1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both"/>
              <w:rPr>
                <w:b/>
                <w:b/>
                <w:sz w:val="22"/>
                <w:szCs w:val="22"/>
                <w:lang w:val="en-US"/>
              </w:rPr>
            </w:pPr>
            <w:r>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pPr>
              <w:pStyle w:val="Normal"/>
              <w:spacing w:before="0" w:after="60"/>
              <w:jc w:val="both"/>
              <w:rPr>
                <w:b/>
                <w:b/>
                <w:sz w:val="22"/>
                <w:szCs w:val="22"/>
                <w:lang w:val="en-US"/>
              </w:rPr>
            </w:pPr>
            <w:r>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trPr>
          <w:trHeight w:val="227" w:hRule="atLeast"/>
        </w:trPr>
        <w:tc>
          <w:tcPr>
            <w:tcW w:w="216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c>
          <w:tcPr>
            <w:tcW w:w="4391"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t xml:space="preserve"> </w:t>
            </w:r>
            <w:r>
              <w:rPr>
                <w:b/>
                <w:lang w:val="sr-CS"/>
              </w:rPr>
              <w:t xml:space="preserve">Nenad Manojlović, Igor Salom, Algebraic Bethe Ansatz for the Trigonometric sℓ(2) Gaudin Model with Triangular Boundary, </w:t>
            </w:r>
            <w:r>
              <w:rPr>
                <w:b/>
                <w:lang w:val="en-US"/>
              </w:rPr>
              <w:t xml:space="preserve">Symmetry, </w:t>
            </w:r>
            <w:r>
              <w:rPr>
                <w:b/>
                <w:lang w:val="sr-CS"/>
              </w:rPr>
              <w:t>MDPI, vol. 12, no. 3, doi: 10.3390/sym12030352, 2020</w:t>
            </w:r>
          </w:p>
        </w:tc>
        <w:tc>
          <w:tcPr>
            <w:tcW w:w="217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r>
      <w:tr>
        <w:trPr>
          <w:trHeight w:val="227" w:hRule="atLeast"/>
        </w:trPr>
        <w:tc>
          <w:tcPr>
            <w:tcW w:w="216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c>
          <w:tcPr>
            <w:tcW w:w="4391"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t xml:space="preserve">I. Salom, N. Manojlovi, N. Cirilo António, Generalized sℓ(2) Gaudin algebra and corresponding Knizhnik–Zamolodchikov equation, </w:t>
            </w:r>
            <w:r>
              <w:rPr>
                <w:b/>
                <w:lang w:val="sr-Latn-RS"/>
              </w:rPr>
              <w:t>Nucl. Ph</w:t>
            </w:r>
            <w:r>
              <w:rPr>
                <w:b/>
                <w:lang w:val="en-US"/>
              </w:rPr>
              <w:t>y</w:t>
            </w:r>
            <w:r>
              <w:rPr>
                <w:b/>
                <w:lang w:val="sr-Latn-RS"/>
              </w:rPr>
              <w:t xml:space="preserve">s B, </w:t>
            </w:r>
            <w:r>
              <w:rPr>
                <w:b/>
                <w:lang w:val="sr-CS"/>
              </w:rPr>
              <w:t>vol. 939, pp. 358 - 371, doi: https://doi.org/10.1016/j.nuclphysb.2018.12.025, 2019.</w:t>
            </w:r>
          </w:p>
        </w:tc>
        <w:tc>
          <w:tcPr>
            <w:tcW w:w="217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r>
      <w:tr>
        <w:trPr>
          <w:trHeight w:val="227" w:hRule="atLeast"/>
        </w:trPr>
        <w:tc>
          <w:tcPr>
            <w:tcW w:w="216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c>
          <w:tcPr>
            <w:tcW w:w="4391"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t xml:space="preserve">Dmitrasinovic V., Salom Igor, O(6) algebraic theory of three nonrelativistic quarks bound by spin-independent interactions, </w:t>
            </w:r>
            <w:r>
              <w:rPr>
                <w:b/>
                <w:lang w:val="en-US"/>
              </w:rPr>
              <w:t>P</w:t>
            </w:r>
            <w:r>
              <w:rPr>
                <w:b/>
                <w:lang w:val="en-US"/>
              </w:rPr>
              <w:t>hys</w:t>
            </w:r>
            <w:r>
              <w:rPr>
                <w:b/>
                <w:lang w:val="sr-Latn-RS"/>
              </w:rPr>
              <w:t>.</w:t>
            </w:r>
            <w:r>
              <w:rPr>
                <w:b/>
                <w:lang w:val="sr-CS"/>
              </w:rPr>
              <w:t xml:space="preserve"> R</w:t>
            </w:r>
            <w:r>
              <w:rPr>
                <w:b/>
                <w:lang w:val="en-US"/>
              </w:rPr>
              <w:t>ev.</w:t>
            </w:r>
            <w:r>
              <w:rPr>
                <w:b/>
                <w:lang w:val="sr-CS"/>
              </w:rPr>
              <w:t xml:space="preserve"> D, AMER PHYSICAL SOC, vol. 97, no. 9, issn: 2470-0010, doi: 10.1103/PhysRevD.97.094011</w:t>
            </w:r>
          </w:p>
        </w:tc>
        <w:tc>
          <w:tcPr>
            <w:tcW w:w="217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r>
      <w:tr>
        <w:trPr>
          <w:trHeight w:val="227" w:hRule="atLeast"/>
        </w:trPr>
        <w:tc>
          <w:tcPr>
            <w:tcW w:w="216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c>
          <w:tcPr>
            <w:tcW w:w="4391"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t xml:space="preserve"> </w:t>
            </w:r>
            <w:r>
              <w:rPr>
                <w:b/>
                <w:lang w:val="sr-CS"/>
              </w:rPr>
              <w:t>И. Салом, В. Дмитрашиновић, Permutation-symmetric three-particle hyper-spherical harmonics based on the S3 ⊗ SO(3)rot ⊂ O(2)⊗SO(3)rot ⊂ U(3)⋊S2 ⊂ O(6) subgroup chain, Nuclear Physics B, Elsevier, vol. 920, pp. 521 - 564, issn: 0550-3213, doi: 10.1016/j.nuclphysb.2017.04.024, Jul, 2017</w:t>
            </w:r>
          </w:p>
        </w:tc>
        <w:tc>
          <w:tcPr>
            <w:tcW w:w="217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r>
      <w:tr>
        <w:trPr>
          <w:trHeight w:val="227" w:hRule="atLeast"/>
        </w:trPr>
        <w:tc>
          <w:tcPr>
            <w:tcW w:w="216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c>
          <w:tcPr>
            <w:tcW w:w="4391"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t>N. Manojlović, И. Салом, Algebraic Bethe ansatz for the XXZ Heisenberg spin chain with triangular boundaries and the corresponding Gaudin model, Nuclear Physics B, vol. 923, pp. 73 - 106, issn: 0550-3213, doi: 10.1016/j.nuclphysb.2017.07.017, Oct, 2017</w:t>
            </w:r>
          </w:p>
        </w:tc>
        <w:tc>
          <w:tcPr>
            <w:tcW w:w="217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r>
      <w:tr>
        <w:trPr>
          <w:trHeight w:val="227" w:hRule="atLeast"/>
        </w:trPr>
        <w:tc>
          <w:tcPr>
            <w:tcW w:w="216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c>
          <w:tcPr>
            <w:tcW w:w="4391"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t>Игор Салом, Veljko Dmitrašinović, O(6) algebraic approach to three bound identical particles in the hyperspherical adiabatic representation, Physics Letters A, vol. 380, no. , pp. 1904 - 1911,  doi: 0.1016/j.physleta.2016.04.008, 2016</w:t>
            </w:r>
          </w:p>
        </w:tc>
        <w:tc>
          <w:tcPr>
            <w:tcW w:w="217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r>
      <w:tr>
        <w:trPr>
          <w:trHeight w:val="227" w:hRule="atLeast"/>
        </w:trPr>
        <w:tc>
          <w:tcPr>
            <w:tcW w:w="216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c>
          <w:tcPr>
            <w:tcW w:w="4391"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t>Stojanović, Vladimir M., Salom, Igor, Quantum dynamics of the small-polaron formation in a superconducting analog simulator, Phys. Rev. B, vol. 99, doi: 10.1103/PhysRevB.99.134308, 2019</w:t>
            </w:r>
          </w:p>
        </w:tc>
        <w:tc>
          <w:tcPr>
            <w:tcW w:w="217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r>
      <w:tr>
        <w:trPr>
          <w:trHeight w:val="227" w:hRule="atLeast"/>
        </w:trPr>
        <w:tc>
          <w:tcPr>
            <w:tcW w:w="216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c>
          <w:tcPr>
            <w:tcW w:w="4391"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c>
          <w:tcPr>
            <w:tcW w:w="217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r>
      <w:tr>
        <w:trPr>
          <w:trHeight w:val="227" w:hRule="atLeast"/>
        </w:trPr>
        <w:tc>
          <w:tcPr>
            <w:tcW w:w="216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c>
          <w:tcPr>
            <w:tcW w:w="4391"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c>
          <w:tcPr>
            <w:tcW w:w="217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r>
      <w:tr>
        <w:trPr>
          <w:trHeight w:val="227" w:hRule="atLeast"/>
        </w:trPr>
        <w:tc>
          <w:tcPr>
            <w:tcW w:w="8727" w:type="dxa"/>
            <w:gridSpan w:val="1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t>Cumulative data of scientific activity of the teacher</w:t>
            </w:r>
          </w:p>
        </w:tc>
      </w:tr>
      <w:tr>
        <w:trPr>
          <w:trHeight w:val="227" w:hRule="atLeast"/>
        </w:trPr>
        <w:tc>
          <w:tcPr>
            <w:tcW w:w="8727" w:type="dxa"/>
            <w:gridSpan w:val="1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t>Cumulative data of scientific activity of the teacher</w:t>
            </w:r>
          </w:p>
        </w:tc>
      </w:tr>
      <w:tr>
        <w:trPr>
          <w:trHeight w:val="227" w:hRule="atLeast"/>
        </w:trPr>
        <w:tc>
          <w:tcPr>
            <w:tcW w:w="3780" w:type="dxa"/>
            <w:gridSpan w:val="6"/>
            <w:tcBorders>
              <w:top w:val="single" w:sz="4" w:space="0" w:color="000000"/>
              <w:left w:val="single" w:sz="4" w:space="0" w:color="000000"/>
              <w:bottom w:val="single" w:sz="4" w:space="0" w:color="000000"/>
              <w:right w:val="single" w:sz="4" w:space="0" w:color="000000"/>
            </w:tcBorders>
            <w:shd w:fill="auto" w:val="clear"/>
          </w:tcPr>
          <w:p>
            <w:pPr>
              <w:pStyle w:val="Normal"/>
              <w:rPr>
                <w:sz w:val="22"/>
                <w:szCs w:val="22"/>
                <w:lang w:val="en-US"/>
              </w:rPr>
            </w:pPr>
            <w:r>
              <w:rPr>
                <w:sz w:val="22"/>
                <w:szCs w:val="22"/>
                <w:lang w:val="en-US"/>
              </w:rPr>
              <w:t>Total number of citations, without self citations</w:t>
            </w:r>
          </w:p>
        </w:tc>
        <w:tc>
          <w:tcPr>
            <w:tcW w:w="4947"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t>51</w:t>
            </w:r>
          </w:p>
        </w:tc>
      </w:tr>
      <w:tr>
        <w:trPr>
          <w:trHeight w:val="227" w:hRule="atLeast"/>
        </w:trPr>
        <w:tc>
          <w:tcPr>
            <w:tcW w:w="3780" w:type="dxa"/>
            <w:gridSpan w:val="6"/>
            <w:tcBorders>
              <w:top w:val="single" w:sz="4" w:space="0" w:color="000000"/>
              <w:left w:val="single" w:sz="4" w:space="0" w:color="000000"/>
              <w:bottom w:val="single" w:sz="4" w:space="0" w:color="000000"/>
              <w:right w:val="single" w:sz="4" w:space="0" w:color="000000"/>
            </w:tcBorders>
            <w:shd w:fill="auto" w:val="clear"/>
          </w:tcPr>
          <w:p>
            <w:pPr>
              <w:pStyle w:val="Normal"/>
              <w:rPr>
                <w:sz w:val="22"/>
                <w:szCs w:val="22"/>
                <w:lang w:val="en-US"/>
              </w:rPr>
            </w:pPr>
            <w:r>
              <w:rPr>
                <w:sz w:val="22"/>
                <w:szCs w:val="22"/>
                <w:lang w:val="en-US"/>
              </w:rPr>
              <w:t>Total number of papers on the SCI (or SSCI) list</w:t>
            </w:r>
          </w:p>
        </w:tc>
        <w:tc>
          <w:tcPr>
            <w:tcW w:w="4947"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t>21 in peer reviewed journals + 27 in international conference proceedings</w:t>
            </w:r>
          </w:p>
        </w:tc>
      </w:tr>
      <w:tr>
        <w:trPr>
          <w:trHeight w:val="227" w:hRule="atLeast"/>
        </w:trPr>
        <w:tc>
          <w:tcPr>
            <w:tcW w:w="3780" w:type="dxa"/>
            <w:gridSpan w:val="6"/>
            <w:tcBorders>
              <w:top w:val="single" w:sz="4" w:space="0" w:color="000000"/>
              <w:left w:val="single" w:sz="4" w:space="0" w:color="000000"/>
              <w:bottom w:val="single" w:sz="4" w:space="0" w:color="000000"/>
              <w:right w:val="single" w:sz="4" w:space="0" w:color="000000"/>
            </w:tcBorders>
            <w:shd w:fill="auto" w:val="clear"/>
          </w:tcPr>
          <w:p>
            <w:pPr>
              <w:pStyle w:val="Normal"/>
              <w:rPr>
                <w:sz w:val="22"/>
                <w:szCs w:val="22"/>
                <w:lang w:val="en-US"/>
              </w:rPr>
            </w:pPr>
            <w:r>
              <w:rPr>
                <w:sz w:val="22"/>
                <w:szCs w:val="22"/>
                <w:lang w:val="en-US"/>
              </w:rPr>
              <w:t>Current participation in projects</w:t>
            </w:r>
          </w:p>
        </w:tc>
        <w:tc>
          <w:tcPr>
            <w:tcW w:w="2051"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pPr>
            <w:r>
              <w:rPr>
                <w:sz w:val="22"/>
                <w:szCs w:val="22"/>
                <w:lang w:val="en-US"/>
              </w:rPr>
              <w:t xml:space="preserve">Domestic </w:t>
            </w:r>
          </w:p>
          <w:p>
            <w:pPr>
              <w:pStyle w:val="Normal"/>
              <w:spacing w:before="0" w:after="60"/>
              <w:rPr>
                <w:b/>
                <w:b/>
                <w:sz w:val="22"/>
                <w:szCs w:val="22"/>
                <w:lang w:val="en-US"/>
              </w:rPr>
            </w:pPr>
            <w:r>
              <w:rPr/>
            </w:r>
          </w:p>
          <w:p>
            <w:pPr>
              <w:pStyle w:val="Normal"/>
              <w:spacing w:before="0" w:after="60"/>
              <w:rPr/>
            </w:pPr>
            <w:r>
              <w:rPr/>
              <w:t>"Symmetries and Quantization 2020"</w:t>
            </w:r>
          </w:p>
          <w:p>
            <w:pPr>
              <w:pStyle w:val="Normal"/>
              <w:spacing w:before="0" w:after="60"/>
              <w:rPr/>
            </w:pPr>
            <w:r>
              <w:rPr/>
              <w:t>Institution: Institute of Physics, University of Belgrade (Program "Diaspora" of the Serbian Science Fund)</w:t>
            </w:r>
          </w:p>
          <w:p>
            <w:pPr>
              <w:pStyle w:val="Normal"/>
              <w:spacing w:before="0" w:after="60"/>
              <w:rPr>
                <w:b w:val="false"/>
                <w:b w:val="false"/>
                <w:bCs w:val="false"/>
              </w:rPr>
            </w:pPr>
            <w:r>
              <w:rPr>
                <w:b w:val="false"/>
                <w:bCs w:val="false"/>
                <w:sz w:val="22"/>
                <w:szCs w:val="22"/>
                <w:lang w:val="en-US"/>
              </w:rPr>
              <w:t>Number: 6427195</w:t>
            </w:r>
          </w:p>
        </w:tc>
        <w:tc>
          <w:tcPr>
            <w:tcW w:w="2896"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pPr>
            <w:r>
              <w:rPr>
                <w:sz w:val="22"/>
                <w:szCs w:val="22"/>
                <w:lang w:val="en-US"/>
              </w:rPr>
              <w:t>International</w:t>
            </w:r>
          </w:p>
          <w:p>
            <w:pPr>
              <w:pStyle w:val="Normal"/>
              <w:spacing w:before="0" w:after="60"/>
              <w:rPr/>
            </w:pPr>
            <w:r>
              <w:rPr>
                <w:b/>
                <w:lang w:val="en-US"/>
              </w:rPr>
              <w:t xml:space="preserve"> </w:t>
            </w:r>
            <w:r>
              <w:rPr>
                <w:rFonts w:ascii="Calibri" w:hAnsi="Calibri"/>
                <w:b/>
                <w:sz w:val="22"/>
              </w:rPr>
              <w:t>“</w:t>
            </w:r>
            <w:r>
              <w:rPr>
                <w:rFonts w:ascii="Calibri" w:hAnsi="Calibri"/>
                <w:sz w:val="22"/>
              </w:rPr>
              <w:t>A novel Quark-Gluon Plasma tomography tool: from jet</w:t>
            </w:r>
          </w:p>
          <w:p>
            <w:pPr>
              <w:pStyle w:val="Normal"/>
              <w:jc w:val="left"/>
              <w:rPr/>
            </w:pPr>
            <w:r>
              <w:rPr>
                <w:rFonts w:ascii="Calibri" w:hAnsi="Calibri"/>
                <w:sz w:val="22"/>
              </w:rPr>
              <w:t>quenching to exploring the extreme medium properties”,</w:t>
            </w:r>
          </w:p>
          <w:p>
            <w:pPr>
              <w:pStyle w:val="Normal"/>
              <w:jc w:val="left"/>
              <w:rPr/>
            </w:pPr>
            <w:r>
              <w:rPr>
                <w:rFonts w:ascii="Calibri" w:hAnsi="Calibri"/>
                <w:sz w:val="22"/>
              </w:rPr>
              <w:t>Horizon 2020, European Research Council (ERC) 2016</w:t>
            </w:r>
          </w:p>
          <w:p>
            <w:pPr>
              <w:pStyle w:val="Normal"/>
              <w:jc w:val="left"/>
              <w:rPr/>
            </w:pPr>
            <w:r>
              <w:rPr>
                <w:rFonts w:ascii="Calibri" w:hAnsi="Calibri"/>
                <w:sz w:val="22"/>
              </w:rPr>
              <w:t>Consolidator Grant, ERC-2016-COG: 725741, član projektnog</w:t>
            </w:r>
          </w:p>
          <w:p>
            <w:pPr>
              <w:pStyle w:val="Normal"/>
              <w:spacing w:before="0" w:after="60"/>
              <w:rPr>
                <w:lang w:val="en-US"/>
              </w:rPr>
            </w:pPr>
            <w:r>
              <w:rPr>
                <w:rFonts w:ascii="Calibri" w:hAnsi="Calibri"/>
                <w:sz w:val="22"/>
                <w:lang w:val="en-US"/>
              </w:rPr>
              <w:t>tima, zadužen za numeričke simulacije</w:t>
            </w:r>
          </w:p>
          <w:p>
            <w:pPr>
              <w:pStyle w:val="Normal"/>
              <w:spacing w:before="0" w:after="60"/>
              <w:rPr>
                <w:rFonts w:ascii="Calibri" w:hAnsi="Calibri"/>
                <w:sz w:val="22"/>
              </w:rPr>
            </w:pPr>
            <w:r>
              <w:rPr>
                <w:lang w:val="en-US"/>
              </w:rPr>
            </w:r>
          </w:p>
          <w:p>
            <w:pPr>
              <w:pStyle w:val="Normal"/>
              <w:spacing w:before="0" w:after="60"/>
              <w:rPr>
                <w:lang w:val="en-US"/>
              </w:rPr>
            </w:pPr>
            <w:r>
              <w:rPr>
                <w:rFonts w:ascii="Calibri" w:hAnsi="Calibri"/>
                <w:sz w:val="22"/>
                <w:lang w:val="en-US"/>
              </w:rPr>
              <w:t>2. "Symmetries and Quantization - 2020-2022"</w:t>
            </w:r>
          </w:p>
          <w:p>
            <w:pPr>
              <w:pStyle w:val="Normal"/>
              <w:spacing w:before="0" w:after="60"/>
              <w:rPr>
                <w:lang w:val="en-US"/>
              </w:rPr>
            </w:pPr>
            <w:r>
              <w:rPr>
                <w:rFonts w:ascii="Calibri" w:hAnsi="Calibri"/>
                <w:sz w:val="22"/>
                <w:lang w:val="en-US"/>
              </w:rPr>
              <w:t>Institution: Institute of Physics, University of Belgrade (bilateral project between Portugal and Serbia)</w:t>
            </w:r>
          </w:p>
          <w:p>
            <w:pPr>
              <w:pStyle w:val="Normal"/>
              <w:spacing w:before="0" w:after="60"/>
              <w:rPr>
                <w:lang w:val="en-US"/>
              </w:rPr>
            </w:pPr>
            <w:r>
              <w:rPr>
                <w:rFonts w:ascii="Calibri" w:hAnsi="Calibri"/>
                <w:sz w:val="22"/>
                <w:lang w:val="en-US"/>
              </w:rPr>
              <w:t>Number: 337-00-00227/2019-09/57</w:t>
            </w:r>
          </w:p>
          <w:p>
            <w:pPr>
              <w:pStyle w:val="Normal"/>
              <w:spacing w:before="0" w:after="60"/>
              <w:rPr>
                <w:b/>
                <w:b/>
                <w:sz w:val="22"/>
                <w:szCs w:val="22"/>
                <w:lang w:val="en-US"/>
              </w:rPr>
            </w:pPr>
            <w:r>
              <w:rPr/>
            </w:r>
          </w:p>
        </w:tc>
      </w:tr>
      <w:tr>
        <w:trPr>
          <w:trHeight w:val="227" w:hRule="atLeast"/>
        </w:trPr>
        <w:tc>
          <w:tcPr>
            <w:tcW w:w="3780" w:type="dxa"/>
            <w:gridSpan w:val="6"/>
            <w:tcBorders>
              <w:top w:val="single" w:sz="4" w:space="0" w:color="000000"/>
              <w:left w:val="single" w:sz="4" w:space="0" w:color="000000"/>
              <w:bottom w:val="single" w:sz="4" w:space="0" w:color="000000"/>
              <w:right w:val="single" w:sz="4" w:space="0" w:color="000000"/>
            </w:tcBorders>
            <w:shd w:fill="auto" w:val="clear"/>
          </w:tcPr>
          <w:p>
            <w:pPr>
              <w:pStyle w:val="Normal"/>
              <w:rPr>
                <w:sz w:val="22"/>
                <w:szCs w:val="22"/>
                <w:lang w:val="en-US"/>
              </w:rPr>
            </w:pPr>
            <w:r>
              <w:rPr>
                <w:sz w:val="22"/>
                <w:szCs w:val="22"/>
                <w:lang w:val="en-US"/>
              </w:rPr>
              <w:t xml:space="preserve">Specialization </w:t>
            </w:r>
          </w:p>
        </w:tc>
        <w:tc>
          <w:tcPr>
            <w:tcW w:w="2051"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t>Mathematical physics</w:t>
            </w:r>
          </w:p>
        </w:tc>
        <w:tc>
          <w:tcPr>
            <w:tcW w:w="2896"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r>
      <w:tr>
        <w:trPr>
          <w:trHeight w:val="227" w:hRule="atLeast"/>
        </w:trPr>
        <w:tc>
          <w:tcPr>
            <w:tcW w:w="3780" w:type="dxa"/>
            <w:gridSpan w:val="6"/>
            <w:tcBorders>
              <w:top w:val="single" w:sz="4" w:space="0" w:color="000000"/>
              <w:left w:val="single" w:sz="4" w:space="0" w:color="000000"/>
              <w:bottom w:val="single" w:sz="4" w:space="0" w:color="000000"/>
              <w:right w:val="single" w:sz="4" w:space="0" w:color="000000"/>
            </w:tcBorders>
            <w:shd w:fill="auto" w:val="clear"/>
          </w:tcPr>
          <w:p>
            <w:pPr>
              <w:pStyle w:val="Normal"/>
              <w:rPr>
                <w:lang w:val="en-US"/>
              </w:rPr>
            </w:pPr>
            <w:r>
              <w:rPr>
                <w:lang w:val="en-US"/>
              </w:rPr>
              <w:t>Other information you consider to be important</w:t>
            </w:r>
          </w:p>
        </w:tc>
        <w:tc>
          <w:tcPr>
            <w:tcW w:w="4947"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r>
      <w:tr>
        <w:trPr>
          <w:trHeight w:val="227" w:hRule="atLeast"/>
        </w:trPr>
        <w:tc>
          <w:tcPr>
            <w:tcW w:w="3780" w:type="dxa"/>
            <w:gridSpan w:val="6"/>
            <w:tcBorders>
              <w:top w:val="single" w:sz="4" w:space="0" w:color="000000"/>
              <w:left w:val="single" w:sz="4" w:space="0" w:color="000000"/>
              <w:bottom w:val="single" w:sz="4" w:space="0" w:color="000000"/>
              <w:right w:val="single" w:sz="4" w:space="0" w:color="000000"/>
            </w:tcBorders>
            <w:shd w:fill="auto" w:val="clear"/>
          </w:tcPr>
          <w:p>
            <w:pPr>
              <w:pStyle w:val="Normal"/>
              <w:rPr>
                <w:lang w:val="en-US"/>
              </w:rPr>
            </w:pPr>
            <w:r>
              <w:rPr>
                <w:lang w:val="en-US"/>
              </w:rPr>
              <w:t>Maximum length may not be over 2 А4 pages</w:t>
            </w:r>
          </w:p>
        </w:tc>
        <w:tc>
          <w:tcPr>
            <w:tcW w:w="4947"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r>
    </w:tbl>
    <w:p>
      <w:pPr>
        <w:pStyle w:val="Normal"/>
        <w:rPr/>
      </w:pPr>
      <w:r>
        <w:rPr/>
      </w:r>
    </w:p>
    <w:sectPr>
      <w:type w:val="nextPage"/>
      <w:pgSz w:w="11906" w:h="16838"/>
      <w:pgMar w:left="1440" w:right="144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libri">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10"/>
  <w:defaultTabStop w:val="72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GB"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7c3cb8"/>
    <w:pPr>
      <w:widowControl w:val="false"/>
      <w:bidi w:val="0"/>
      <w:spacing w:lineRule="auto" w:line="240" w:before="0" w:after="0"/>
      <w:jc w:val="left"/>
    </w:pPr>
    <w:rPr>
      <w:rFonts w:ascii="Times New Roman" w:hAnsi="Times New Roman" w:eastAsia="Cambria" w:cs="Times New Roman"/>
      <w:color w:val="auto"/>
      <w:kern w:val="0"/>
      <w:sz w:val="20"/>
      <w:szCs w:val="20"/>
      <w:lang w:val="sr-Latn-CS" w:eastAsia="sr-Latn-CS" w:bidi="ar-SA"/>
    </w:rPr>
  </w:style>
  <w:style w:type="character" w:styleId="DefaultParagraphFont" w:default="1">
    <w:name w:val="Default Paragraph Font"/>
    <w:uiPriority w:val="1"/>
    <w:semiHidden/>
    <w:unhideWhenUsed/>
    <w:qFormat/>
    <w:rPr/>
  </w:style>
  <w:style w:type="character" w:styleId="InternetLink">
    <w:name w:val="Internet Link"/>
    <w:rPr>
      <w:color w:val="000080"/>
      <w:u w:val="single"/>
      <w:lang w:val="zxx" w:eastAsia="zxx" w:bidi="zxx"/>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Application>Neat_Office/6.2.8.2$Windows_x86 LibreOffice_project/</Application>
  <Pages>5</Pages>
  <Words>1111</Words>
  <Characters>7030</Characters>
  <CharactersWithSpaces>8054</CharactersWithSpaces>
  <Paragraphs>130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2021-04-29T10:18:00Z</dcterms:created>
  <dc:creator>Windows User</dc:creator>
  <dc:description/>
  <dc:language>en-US</dc:language>
  <cp:lastModifiedBy/>
  <dcterms:modified xsi:type="dcterms:W3CDTF">2021-05-05T23:02:22Z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